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NanumGothic" w:hAnsi="NanumGothic" w:eastAsia="NanumGothic"/>
          <w:b/>
          <w:color w:val="17365D"/>
          <w:sz w:val="44"/>
        </w:rPr>
        <w:t>MM뱅크 외환 컨설팅 내부 검토 기준</w:t>
      </w:r>
    </w:p>
    <w:p>
      <w:pPr>
        <w:jc w:val="center"/>
      </w:pPr>
      <w:r>
        <w:rPr>
          <w:rFonts w:ascii="NanumGothic" w:hAnsi="NanumGothic" w:eastAsia="NanumGothic"/>
          <w:color w:val="5A5A5A"/>
          <w:sz w:val="20"/>
        </w:rPr>
        <w:t>교육용 가상 내부자료 - 외부 배포 금지</w:t>
      </w:r>
    </w:p>
    <w:p/>
    <w:p>
      <w:pPr>
        <w:pStyle w:val="Heading1"/>
      </w:pPr>
      <w:r>
        <w:t>1. 제안 기본원칙</w:t>
      </w:r>
    </w:p>
    <w:p>
      <w:pPr>
        <w:pStyle w:val="ListBullet"/>
        <w:spacing w:after="40"/>
      </w:pPr>
      <w:r>
        <w:rPr>
          <w:rFonts w:ascii="NanumGothic" w:hAnsi="NanumGothic" w:eastAsia="NanumGothic"/>
        </w:rPr>
        <w:t>고객의 실물거래와 현금흐름을 우선하며, 환율 방향성에 대한 투기적 판단을 제안 근거로 삼지 않는다.</w:t>
      </w:r>
    </w:p>
    <w:p>
      <w:pPr>
        <w:pStyle w:val="ListBullet"/>
        <w:spacing w:after="40"/>
      </w:pPr>
      <w:r>
        <w:rPr>
          <w:rFonts w:ascii="NanumGothic" w:hAnsi="NanumGothic" w:eastAsia="NanumGothic"/>
        </w:rPr>
        <w:t>헤지수단의 기대효과뿐 아니라 비용, 만기 불일치, 중도해지 위험, 내부 운영 부담을 함께 설명한다.</w:t>
      </w:r>
    </w:p>
    <w:p>
      <w:pPr>
        <w:pStyle w:val="ListBullet"/>
        <w:spacing w:after="40"/>
      </w:pPr>
      <w:r>
        <w:rPr>
          <w:rFonts w:ascii="NanumGothic" w:hAnsi="NanumGothic" w:eastAsia="NanumGothic"/>
        </w:rPr>
        <w:t>고객의 조직 규모와 담당자 역량을 고려해 지속 운영 가능한 수준으로 제안한다.</w:t>
      </w:r>
    </w:p>
    <w:p>
      <w:pPr>
        <w:pStyle w:val="ListBullet"/>
        <w:spacing w:after="40"/>
      </w:pPr>
      <w:r>
        <w:rPr>
          <w:rFonts w:ascii="NanumGothic" w:hAnsi="NanumGothic" w:eastAsia="NanumGothic"/>
        </w:rPr>
        <w:t>외부 자료는 발행기관, 기준일, 출처를 명확히 표시하고 고객 내부자료와 혼동하지 않는다.</w:t>
      </w:r>
    </w:p>
    <w:p>
      <w:pPr>
        <w:pStyle w:val="Heading1"/>
      </w:pPr>
      <w:r>
        <w:t>2. 가상 서비스 조건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93"/>
        <w:gridCol w:w="2493"/>
        <w:gridCol w:w="2493"/>
        <w:gridCol w:w="2493"/>
      </w:tblGrid>
      <w:tr>
        <w:tc>
          <w:tcPr>
            <w:tcW w:type="dxa" w:w="1814"/>
            <w:shd w:fill="17365D"/>
            <w:vAlign w:val="center"/>
          </w:tcPr>
          <w:p>
            <w:pPr>
              <w:jc w:val="center"/>
            </w:pPr>
            <w:r/>
            <w:r>
              <w:rPr>
                <w:rFonts w:ascii="NanumGothic" w:hAnsi="NanumGothic" w:eastAsia="NanumGothic"/>
                <w:b/>
                <w:color w:val="FFFFFF"/>
                <w:sz w:val="18"/>
              </w:rPr>
              <w:t>서비스</w:t>
            </w:r>
          </w:p>
        </w:tc>
        <w:tc>
          <w:tcPr>
            <w:tcW w:type="dxa" w:w="2835"/>
            <w:shd w:fill="17365D"/>
            <w:vAlign w:val="center"/>
          </w:tcPr>
          <w:p>
            <w:pPr>
              <w:jc w:val="center"/>
            </w:pPr>
            <w:r/>
            <w:r>
              <w:rPr>
                <w:rFonts w:ascii="NanumGothic" w:hAnsi="NanumGothic" w:eastAsia="NanumGothic"/>
                <w:b/>
                <w:color w:val="FFFFFF"/>
                <w:sz w:val="18"/>
              </w:rPr>
              <w:t>기본 조건</w:t>
            </w:r>
          </w:p>
        </w:tc>
        <w:tc>
          <w:tcPr>
            <w:tcW w:type="dxa" w:w="2551"/>
            <w:shd w:fill="17365D"/>
            <w:vAlign w:val="center"/>
          </w:tcPr>
          <w:p>
            <w:pPr>
              <w:jc w:val="center"/>
            </w:pPr>
            <w:r/>
            <w:r>
              <w:rPr>
                <w:rFonts w:ascii="NanumGothic" w:hAnsi="NanumGothic" w:eastAsia="NanumGothic"/>
                <w:b/>
                <w:color w:val="FFFFFF"/>
                <w:sz w:val="18"/>
              </w:rPr>
              <w:t>추가 협의 가능사항</w:t>
            </w:r>
          </w:p>
        </w:tc>
        <w:tc>
          <w:tcPr>
            <w:tcW w:type="dxa" w:w="2721"/>
            <w:shd w:fill="17365D"/>
            <w:vAlign w:val="center"/>
          </w:tcPr>
          <w:p>
            <w:pPr>
              <w:jc w:val="center"/>
            </w:pPr>
            <w:r/>
            <w:r>
              <w:rPr>
                <w:rFonts w:ascii="NanumGothic" w:hAnsi="NanumGothic" w:eastAsia="NanumGothic"/>
                <w:b/>
                <w:color w:val="FFFFFF"/>
                <w:sz w:val="18"/>
              </w:rPr>
              <w:t>유의사항</w:t>
            </w:r>
          </w:p>
        </w:tc>
      </w:tr>
      <w:tr>
        <w:tc>
          <w:tcPr>
            <w:tcW w:type="dxa" w:w="1814"/>
            <w:shd w:fill="F2F2F2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/>
                <w:color w:val="000000"/>
                <w:sz w:val="17"/>
              </w:rPr>
              <w:t>외환시장 브리핑</w:t>
            </w:r>
          </w:p>
        </w:tc>
        <w:tc>
          <w:tcPr>
            <w:tcW w:type="dxa" w:w="2835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주 1회 이메일, 월 1회 온라인 미팅</w:t>
            </w:r>
          </w:p>
        </w:tc>
        <w:tc>
          <w:tcPr>
            <w:tcW w:type="dxa" w:w="2551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중요 이벤트 수시 알림</w:t>
            </w:r>
          </w:p>
        </w:tc>
        <w:tc>
          <w:tcPr>
            <w:tcW w:type="dxa" w:w="2721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시장전망은 확정적 예측이 아님</w:t>
            </w:r>
          </w:p>
        </w:tc>
      </w:tr>
      <w:tr>
        <w:tc>
          <w:tcPr>
            <w:tcW w:type="dxa" w:w="1814"/>
            <w:shd w:fill="F2F2F2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/>
                <w:color w:val="000000"/>
                <w:sz w:val="17"/>
              </w:rPr>
              <w:t>선물환 거래</w:t>
            </w:r>
          </w:p>
        </w:tc>
        <w:tc>
          <w:tcPr>
            <w:tcW w:type="dxa" w:w="2835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실물거래 범위 내, 건별 심사</w:t>
            </w:r>
          </w:p>
        </w:tc>
        <w:tc>
          <w:tcPr>
            <w:tcW w:type="dxa" w:w="2551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한도 및 만기구조</w:t>
            </w:r>
          </w:p>
        </w:tc>
        <w:tc>
          <w:tcPr>
            <w:tcW w:type="dxa" w:w="2721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신용한도와 계약조건 필요</w:t>
            </w:r>
          </w:p>
        </w:tc>
      </w:tr>
      <w:tr>
        <w:tc>
          <w:tcPr>
            <w:tcW w:type="dxa" w:w="1814"/>
            <w:shd w:fill="F2F2F2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/>
                <w:color w:val="000000"/>
                <w:sz w:val="17"/>
              </w:rPr>
              <w:t>분할환전 프로그램</w:t>
            </w:r>
          </w:p>
        </w:tc>
        <w:tc>
          <w:tcPr>
            <w:tcW w:type="dxa" w:w="2835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월별 예정 수금액 기준 분할 실행</w:t>
            </w:r>
          </w:p>
        </w:tc>
        <w:tc>
          <w:tcPr>
            <w:tcW w:type="dxa" w:w="2551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실행주기 및 비율</w:t>
            </w:r>
          </w:p>
        </w:tc>
        <w:tc>
          <w:tcPr>
            <w:tcW w:type="dxa" w:w="2721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실제 수금 변동 시 조정 필요</w:t>
            </w:r>
          </w:p>
        </w:tc>
      </w:tr>
      <w:tr>
        <w:tc>
          <w:tcPr>
            <w:tcW w:type="dxa" w:w="1814"/>
            <w:shd w:fill="F2F2F2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/>
                <w:color w:val="000000"/>
                <w:sz w:val="17"/>
              </w:rPr>
              <w:t>외환거래 통합 리포트</w:t>
            </w:r>
          </w:p>
        </w:tc>
        <w:tc>
          <w:tcPr>
            <w:tcW w:type="dxa" w:w="2835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월 1회 거래내역 요약</w:t>
            </w:r>
          </w:p>
        </w:tc>
        <w:tc>
          <w:tcPr>
            <w:tcW w:type="dxa" w:w="2551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부서별 분류 및 맞춤 항목</w:t>
            </w:r>
          </w:p>
        </w:tc>
        <w:tc>
          <w:tcPr>
            <w:tcW w:type="dxa" w:w="2721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시스템 연계 범위 별도 협의</w:t>
            </w:r>
          </w:p>
        </w:tc>
      </w:tr>
      <w:tr>
        <w:tc>
          <w:tcPr>
            <w:tcW w:type="dxa" w:w="1814"/>
            <w:shd w:fill="F2F2F2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/>
                <w:color w:val="000000"/>
                <w:sz w:val="17"/>
              </w:rPr>
              <w:t>전담 지원</w:t>
            </w:r>
          </w:p>
        </w:tc>
        <w:tc>
          <w:tcPr>
            <w:tcW w:type="dxa" w:w="2835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RM 1명, 외환 전문요원 1명, 백업 1명</w:t>
            </w:r>
          </w:p>
        </w:tc>
        <w:tc>
          <w:tcPr>
            <w:tcW w:type="dxa" w:w="2551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정기 방문 또는 교육</w:t>
            </w:r>
          </w:p>
        </w:tc>
        <w:tc>
          <w:tcPr>
            <w:tcW w:type="dxa" w:w="2721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담당자 변경 가능성 있음</w:t>
            </w:r>
          </w:p>
        </w:tc>
      </w:tr>
    </w:tbl>
    <w:p/>
    <w:p>
      <w:pPr>
        <w:pStyle w:val="Heading1"/>
      </w:pPr>
      <w:r>
        <w:t>3. 내부 승인 필요 항목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  <w:shd w:fill="17365D"/>
            <w:vAlign w:val="center"/>
          </w:tcPr>
          <w:p>
            <w:pPr>
              <w:jc w:val="center"/>
            </w:pPr>
            <w:r/>
            <w:r>
              <w:rPr>
                <w:rFonts w:ascii="NanumGothic" w:hAnsi="NanumGothic" w:eastAsia="NanumGothic"/>
                <w:b/>
                <w:color w:val="FFFFFF"/>
                <w:sz w:val="18"/>
              </w:rPr>
              <w:t>항목</w:t>
            </w:r>
          </w:p>
        </w:tc>
        <w:tc>
          <w:tcPr>
            <w:tcW w:type="dxa" w:w="3324"/>
            <w:shd w:fill="17365D"/>
            <w:vAlign w:val="center"/>
          </w:tcPr>
          <w:p>
            <w:pPr>
              <w:jc w:val="center"/>
            </w:pPr>
            <w:r/>
            <w:r>
              <w:rPr>
                <w:rFonts w:ascii="NanumGothic" w:hAnsi="NanumGothic" w:eastAsia="NanumGothic"/>
                <w:b/>
                <w:color w:val="FFFFFF"/>
                <w:sz w:val="18"/>
              </w:rPr>
              <w:t>승인 근거</w:t>
            </w:r>
          </w:p>
        </w:tc>
        <w:tc>
          <w:tcPr>
            <w:tcW w:type="dxa" w:w="3324"/>
            <w:shd w:fill="17365D"/>
            <w:vAlign w:val="center"/>
          </w:tcPr>
          <w:p>
            <w:pPr>
              <w:jc w:val="center"/>
            </w:pPr>
            <w:r/>
            <w:r>
              <w:rPr>
                <w:rFonts w:ascii="NanumGothic" w:hAnsi="NanumGothic" w:eastAsia="NanumGothic"/>
                <w:b/>
                <w:color w:val="FFFFFF"/>
                <w:sz w:val="18"/>
              </w:rPr>
              <w:t>필수 확인자료</w:t>
            </w:r>
          </w:p>
        </w:tc>
      </w:tr>
      <w:tr>
        <w:tc>
          <w:tcPr>
            <w:tcW w:type="dxa" w:w="3324"/>
            <w:shd w:fill="F2F2F2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/>
                <w:color w:val="000000"/>
                <w:sz w:val="17"/>
              </w:rPr>
              <w:t>환율 우대 확대</w:t>
            </w:r>
          </w:p>
        </w:tc>
        <w:tc>
          <w:tcPr>
            <w:tcW w:type="dxa" w:w="3324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예상 거래량, 수익성, 관계 확대 가능성</w:t>
            </w:r>
          </w:p>
        </w:tc>
        <w:tc>
          <w:tcPr>
            <w:tcW w:type="dxa" w:w="3324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최근 거래실적, 예상 물량</w:t>
            </w:r>
          </w:p>
        </w:tc>
      </w:tr>
      <w:tr>
        <w:tc>
          <w:tcPr>
            <w:tcW w:type="dxa" w:w="3324"/>
            <w:shd w:fill="F2F2F2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/>
                <w:color w:val="000000"/>
                <w:sz w:val="17"/>
              </w:rPr>
              <w:t>수수료 감면</w:t>
            </w:r>
          </w:p>
        </w:tc>
        <w:tc>
          <w:tcPr>
            <w:tcW w:type="dxa" w:w="3324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고객 기여도 및 경쟁조건</w:t>
            </w:r>
          </w:p>
        </w:tc>
        <w:tc>
          <w:tcPr>
            <w:tcW w:type="dxa" w:w="3324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타행 조건, 거래통합 계획</w:t>
            </w:r>
          </w:p>
        </w:tc>
      </w:tr>
      <w:tr>
        <w:tc>
          <w:tcPr>
            <w:tcW w:type="dxa" w:w="3324"/>
            <w:shd w:fill="F2F2F2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/>
                <w:color w:val="000000"/>
                <w:sz w:val="17"/>
              </w:rPr>
              <w:t>파생상품 한도</w:t>
            </w:r>
          </w:p>
        </w:tc>
        <w:tc>
          <w:tcPr>
            <w:tcW w:type="dxa" w:w="3324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신용도, 실물거래 규모, 내부통제</w:t>
            </w:r>
          </w:p>
        </w:tc>
        <w:tc>
          <w:tcPr>
            <w:tcW w:type="dxa" w:w="3324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재무제표, 계약서, 이사회·대표 권한</w:t>
            </w:r>
          </w:p>
        </w:tc>
      </w:tr>
      <w:tr>
        <w:tc>
          <w:tcPr>
            <w:tcW w:type="dxa" w:w="3324"/>
            <w:shd w:fill="F2F2F2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/>
                <w:color w:val="000000"/>
                <w:sz w:val="17"/>
              </w:rPr>
              <w:t>맞춤형 리포트</w:t>
            </w:r>
          </w:p>
        </w:tc>
        <w:tc>
          <w:tcPr>
            <w:tcW w:type="dxa" w:w="3324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운영비용 대비 고객가치</w:t>
            </w:r>
          </w:p>
        </w:tc>
        <w:tc>
          <w:tcPr>
            <w:tcW w:type="dxa" w:w="3324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요청 항목, 제공주기, 데이터 방식</w:t>
            </w:r>
          </w:p>
        </w:tc>
      </w:tr>
    </w:tbl>
    <w:p/>
    <w:p>
      <w:pPr>
        <w:pStyle w:val="Heading1"/>
      </w:pPr>
      <w:r>
        <w:t>4. 제안서 품질 체크리스트</w:t>
      </w:r>
    </w:p>
    <w:p>
      <w:pPr>
        <w:pStyle w:val="ListBullet"/>
        <w:spacing w:after="40"/>
      </w:pPr>
      <w:r>
        <w:rPr>
          <w:rFonts w:ascii="NanumGothic" w:hAnsi="NanumGothic" w:eastAsia="NanumGothic"/>
        </w:rPr>
        <w:t>고객의 문제와 제안안 사이의 인과관계가 명확한가?</w:t>
      </w:r>
    </w:p>
    <w:p>
      <w:pPr>
        <w:pStyle w:val="ListBullet"/>
        <w:spacing w:after="40"/>
      </w:pPr>
      <w:r>
        <w:rPr>
          <w:rFonts w:ascii="NanumGothic" w:hAnsi="NanumGothic" w:eastAsia="NanumGothic"/>
        </w:rPr>
        <w:t>제안 수치가 프로젝트 자료 또는 명시된 가정에서 도출되었는가?</w:t>
      </w:r>
    </w:p>
    <w:p>
      <w:pPr>
        <w:pStyle w:val="ListBullet"/>
        <w:spacing w:after="40"/>
      </w:pPr>
      <w:r>
        <w:rPr>
          <w:rFonts w:ascii="NanumGothic" w:hAnsi="NanumGothic" w:eastAsia="NanumGothic"/>
        </w:rPr>
        <w:t>외부 조사자료가 최신이고 신뢰할 수 있는가?</w:t>
      </w:r>
    </w:p>
    <w:p>
      <w:pPr>
        <w:pStyle w:val="ListBullet"/>
        <w:spacing w:after="40"/>
      </w:pPr>
      <w:r>
        <w:rPr>
          <w:rFonts w:ascii="NanumGothic" w:hAnsi="NanumGothic" w:eastAsia="NanumGothic"/>
        </w:rPr>
        <w:t>권고안 외에 대안과 선택 기준이 제시되어 있는가?</w:t>
      </w:r>
    </w:p>
    <w:p>
      <w:pPr>
        <w:pStyle w:val="ListBullet"/>
        <w:spacing w:after="40"/>
      </w:pPr>
      <w:r>
        <w:rPr>
          <w:rFonts w:ascii="NanumGothic" w:hAnsi="NanumGothic" w:eastAsia="NanumGothic"/>
        </w:rPr>
        <w:t>실행 일정, 담당자, 성과지표가 구체적인가?</w:t>
      </w:r>
    </w:p>
    <w:p>
      <w:pPr>
        <w:pStyle w:val="ListBullet"/>
        <w:spacing w:after="40"/>
      </w:pPr>
      <w:r>
        <w:rPr>
          <w:rFonts w:ascii="NanumGothic" w:hAnsi="NanumGothic" w:eastAsia="NanumGothic"/>
        </w:rPr>
        <w:t>상품의 위험과 제약이 누락되지 않았는가?</w:t>
      </w:r>
    </w:p>
    <w:sectPr w:rsidR="00FC693F" w:rsidRPr="0006063C" w:rsidSect="00034616">
      <w:footerReference w:type="default" r:id="rId9"/>
      <w:pgSz w:w="12240" w:h="15840"/>
      <w:pgMar w:top="1020" w:right="1134" w:bottom="102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NanumGothic" w:hAnsi="NanumGothic" w:eastAsia="NanumGothic"/>
        <w:color w:val="646464"/>
        <w:sz w:val="16"/>
      </w:rPr>
      <w:t>MM뱅크 외환 전문요원 실습용 가상자료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NanumGothic" w:hAnsi="NanumGothic" w:eastAsia="NanumGothic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NanumGothic" w:hAnsi="NanumGothic" w:eastAsia="NanumGothic"/>
      <w:b/>
      <w:bCs/>
      <w:color w:val="17365D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NanumGothic" w:hAnsi="NanumGothic" w:eastAsia="NanumGothic"/>
      <w:b/>
      <w:bCs/>
      <w:color w:val="2F75B5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NanumGothic" w:hAnsi="NanumGothic" w:eastAsia="NanumGothic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NanumGothic" w:hAnsi="NanumGothic" w:eastAsia="NanumGothic"/>
      <w:b/>
      <w:color w:val="17365D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